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A325" w14:textId="06ABCACE" w:rsidR="00D11B51" w:rsidRPr="00D11B51" w:rsidRDefault="00D11B51" w:rsidP="00D11B51">
      <w:pPr>
        <w:shd w:val="clear" w:color="auto" w:fill="FFFFFF"/>
        <w:outlineLvl w:val="0"/>
        <w:rPr>
          <w:rFonts w:ascii="Lato" w:eastAsia="Times New Roman" w:hAnsi="Lato" w:cs="Times New Roman"/>
          <w:color w:val="CC3300"/>
          <w:kern w:val="36"/>
          <w:sz w:val="36"/>
          <w:szCs w:val="36"/>
          <w:lang w:eastAsia="fr-FR"/>
        </w:rPr>
      </w:pPr>
      <w:r w:rsidRPr="00D11B51">
        <w:rPr>
          <w:rFonts w:ascii="Lato" w:eastAsia="Times New Roman" w:hAnsi="Lato" w:cs="Times New Roman"/>
          <w:color w:val="CC3300"/>
          <w:kern w:val="36"/>
          <w:sz w:val="36"/>
          <w:szCs w:val="36"/>
          <w:lang w:eastAsia="fr-FR"/>
        </w:rPr>
        <w:t>Fitch abaisse ses estimations de moyennes de 2022 et 2023</w:t>
      </w:r>
    </w:p>
    <w:p w14:paraId="0040B487" w14:textId="77777777" w:rsidR="00D11B51" w:rsidRDefault="00D11B51" w:rsidP="00D11B51">
      <w:pPr>
        <w:shd w:val="clear" w:color="auto" w:fill="FFFFFF"/>
        <w:spacing w:before="75" w:after="75"/>
        <w:jc w:val="both"/>
        <w:rPr>
          <w:rFonts w:ascii="Lato" w:eastAsia="Times New Roman" w:hAnsi="Lato" w:cs="Times New Roman"/>
          <w:color w:val="3E001F"/>
          <w:sz w:val="30"/>
          <w:szCs w:val="30"/>
          <w:lang w:eastAsia="fr-FR"/>
        </w:rPr>
      </w:pPr>
    </w:p>
    <w:p w14:paraId="6C105DCE" w14:textId="472C0ECD"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b/>
          <w:bCs/>
          <w:color w:val="000000"/>
          <w:sz w:val="23"/>
          <w:szCs w:val="23"/>
          <w:lang w:eastAsia="fr-FR"/>
        </w:rPr>
        <w:t>L’agence de notations Fitch Ratings a abaissé ses projections à court terme pour le cuivre, l’aluminium, le nickel et le zinc, afin de refléter « </w:t>
      </w:r>
      <w:r w:rsidRPr="00D11B51">
        <w:rPr>
          <w:rFonts w:ascii="Lato" w:eastAsia="Times New Roman" w:hAnsi="Lato" w:cs="Times New Roman"/>
          <w:b/>
          <w:bCs/>
          <w:i/>
          <w:iCs/>
          <w:color w:val="000000"/>
          <w:sz w:val="23"/>
          <w:szCs w:val="23"/>
          <w:lang w:eastAsia="fr-FR"/>
        </w:rPr>
        <w:t>la baisse des cours des métaux intervenue ces dernières semaines et les incertitudes concernant la demande à court terme</w:t>
      </w:r>
      <w:r w:rsidRPr="00D11B51">
        <w:rPr>
          <w:rFonts w:ascii="Lato" w:eastAsia="Times New Roman" w:hAnsi="Lato" w:cs="Times New Roman"/>
          <w:b/>
          <w:bCs/>
          <w:color w:val="000000"/>
          <w:sz w:val="23"/>
          <w:szCs w:val="23"/>
          <w:lang w:eastAsia="fr-FR"/>
        </w:rPr>
        <w:t> ».</w:t>
      </w:r>
    </w:p>
    <w:p w14:paraId="4AEB8AAB"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 </w:t>
      </w:r>
    </w:p>
    <w:p w14:paraId="49338C13"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b/>
          <w:bCs/>
          <w:color w:val="A52A2A"/>
          <w:sz w:val="23"/>
          <w:szCs w:val="23"/>
          <w:lang w:eastAsia="fr-FR"/>
        </w:rPr>
        <w:t>Cuivre</w:t>
      </w:r>
    </w:p>
    <w:p w14:paraId="59919974"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L’estimation de moyenne de 2022 du cours comptant du cuivre a été abaissée à 8.700 $/t, ceci comparé à la précédente estimation de 9.500 $/t ; celle de 2023 a été révisée à 8.000 $/t, contre à 8.500 $/t précédemment. La banque évoque le ralentissement économique mondial et le recul de la demande en deçà du niveau de l’offre. En revanche Fitch maintient ses projections de 2024 et 2025 inchangées à 7.500 $/t. Sa projection à long terme est elle aussi maintenue, à 7.000 $/t. A moyen terme, les perspectives demeurent robustes, grâce à la transition énergétique, qui devrait représenter 50% de la croissance de la demande mondiale au cours des cinq prochaines années.</w:t>
      </w:r>
    </w:p>
    <w:p w14:paraId="41B8EE34"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 </w:t>
      </w:r>
    </w:p>
    <w:p w14:paraId="6E970C6A"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b/>
          <w:bCs/>
          <w:color w:val="A52A2A"/>
          <w:sz w:val="23"/>
          <w:szCs w:val="23"/>
          <w:lang w:eastAsia="fr-FR"/>
        </w:rPr>
        <w:t>Aluminium</w:t>
      </w:r>
    </w:p>
    <w:p w14:paraId="33C4424F"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Les estimations de moyennes de 2022 et 2023, concernant le métal léger, ont été revues à la baisse, au regard du sentiment négatif et de la contraction de la demande, celle-ci étant principalement liée au recul du marché immobilier chinois. « </w:t>
      </w:r>
      <w:r w:rsidRPr="00D11B51">
        <w:rPr>
          <w:rFonts w:ascii="Lato" w:eastAsia="Times New Roman" w:hAnsi="Lato" w:cs="Times New Roman"/>
          <w:i/>
          <w:iCs/>
          <w:color w:val="000000"/>
          <w:sz w:val="23"/>
          <w:szCs w:val="23"/>
          <w:lang w:eastAsia="fr-FR"/>
        </w:rPr>
        <w:t>Toutefois, avec la hausse des prix de l’énergie attendue cet hiver, les finances de nombreux sites de production pourraient basculer dans le rouge et conduire à des fermetures de capacités, ce qui limitera le recul des cours</w:t>
      </w:r>
      <w:r w:rsidRPr="00D11B51">
        <w:rPr>
          <w:rFonts w:ascii="Lato" w:eastAsia="Times New Roman" w:hAnsi="Lato" w:cs="Times New Roman"/>
          <w:color w:val="000000"/>
          <w:sz w:val="23"/>
          <w:szCs w:val="23"/>
          <w:lang w:eastAsia="fr-FR"/>
        </w:rPr>
        <w:t> », prévoit l’agence de notation.</w:t>
      </w:r>
    </w:p>
    <w:p w14:paraId="0B3097A9"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Ainsi, Fitch a raboté de 250 $ sa précédente prévision de moyenne du cours comptant de l’aluminium pour 2022 pour l’établir à 2.700 $/t. Pour 2023, l’agence prévoit une moyenne de 2.500 $/t, une projection inférieure de 100 $/t à la précédente. Pour les échéances 2024, 2025 et à long terme, les prévisions restent inchangées, respectivement, à 2.500 $/t, 2.250 $/t et 2.000 $/t.</w:t>
      </w:r>
    </w:p>
    <w:p w14:paraId="6236E265"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br/>
      </w:r>
      <w:r w:rsidRPr="00D11B51">
        <w:rPr>
          <w:rFonts w:ascii="Lato" w:eastAsia="Times New Roman" w:hAnsi="Lato" w:cs="Times New Roman"/>
          <w:b/>
          <w:bCs/>
          <w:color w:val="A52A2A"/>
          <w:sz w:val="23"/>
          <w:szCs w:val="23"/>
          <w:lang w:eastAsia="fr-FR"/>
        </w:rPr>
        <w:t>Zinc</w:t>
      </w:r>
    </w:p>
    <w:p w14:paraId="6E9818C7"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Les prévisions de 2022 et 2023 concernant le zinc ont été révisées à la baisse, au regard du contexte inflationniste, de la flambée des prix de l’énergie et du risque de récession. La production minière devrait rester stable, ce qui, face à la contraction de la demande, conduira à un excédent de marché à court terme. Fitch prévoit que les tensions sur l’offre vont permettre de rééquilibrer le marché à moyen terme. L’agence a abaissé de 200 $ sa prévision de moyenne du cours comptant de 2022, à 3.400 $/t, par rapport à la précédente. La nouvelle prévision de moyenne de 2023 ressort à 2.800 $/t, contre 3.000 $/t précédemment.</w:t>
      </w:r>
    </w:p>
    <w:p w14:paraId="5BFB6D32"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Pour les échéances 2024, 2025 et la projection à long terme, Fitch maintient ses valeurs inchangées, respectivement, à 2.500 $/t, 2.200 $/t et 2.100 $/t.</w:t>
      </w:r>
    </w:p>
    <w:p w14:paraId="57990E60"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br/>
      </w:r>
      <w:r w:rsidRPr="00D11B51">
        <w:rPr>
          <w:rFonts w:ascii="Lato" w:eastAsia="Times New Roman" w:hAnsi="Lato" w:cs="Times New Roman"/>
          <w:b/>
          <w:bCs/>
          <w:color w:val="A52A2A"/>
          <w:sz w:val="23"/>
          <w:szCs w:val="23"/>
          <w:lang w:eastAsia="fr-FR"/>
        </w:rPr>
        <w:t>Nickel</w:t>
      </w:r>
    </w:p>
    <w:p w14:paraId="25C95257"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 xml:space="preserve">Fitch a également abaissé sa prévision de moyenne du cours comptant du nickel en 2022, à 24.000 $/t, contre 25.000 $/t précédemment. En revanche, elle maintient inchangées les </w:t>
      </w:r>
      <w:r w:rsidRPr="00D11B51">
        <w:rPr>
          <w:rFonts w:ascii="Lato" w:eastAsia="Times New Roman" w:hAnsi="Lato" w:cs="Times New Roman"/>
          <w:color w:val="000000"/>
          <w:sz w:val="23"/>
          <w:szCs w:val="23"/>
          <w:lang w:eastAsia="fr-FR"/>
        </w:rPr>
        <w:lastRenderedPageBreak/>
        <w:t>projections pour les années suivantes. « </w:t>
      </w:r>
      <w:r w:rsidRPr="00D11B51">
        <w:rPr>
          <w:rFonts w:ascii="Lato" w:eastAsia="Times New Roman" w:hAnsi="Lato" w:cs="Times New Roman"/>
          <w:i/>
          <w:iCs/>
          <w:color w:val="000000"/>
          <w:sz w:val="23"/>
          <w:szCs w:val="23"/>
          <w:lang w:eastAsia="fr-FR"/>
        </w:rPr>
        <w:t>Nous avons abaissé notre projection pour 2022 en raison de la contraction de la demande dans le secteur de l’acier inoxydable alors que la production de nickel devrait, elle, rester stable, en particulier en Russie et en Indonésie. La demande à long terme en provenance du secteur des véhicules électriques soutient, elle, les cours à long terme</w:t>
      </w:r>
      <w:r w:rsidRPr="00D11B51">
        <w:rPr>
          <w:rFonts w:ascii="Lato" w:eastAsia="Times New Roman" w:hAnsi="Lato" w:cs="Times New Roman"/>
          <w:color w:val="000000"/>
          <w:sz w:val="23"/>
          <w:szCs w:val="23"/>
          <w:lang w:eastAsia="fr-FR"/>
        </w:rPr>
        <w:t> », estime l’agence.</w:t>
      </w:r>
    </w:p>
    <w:p w14:paraId="3768A8CD" w14:textId="77777777" w:rsidR="00D11B51" w:rsidRPr="00D11B51" w:rsidRDefault="00D11B51" w:rsidP="00D11B51">
      <w:pPr>
        <w:shd w:val="clear" w:color="auto" w:fill="FFFFFF"/>
        <w:spacing w:before="75" w:after="75"/>
        <w:jc w:val="both"/>
        <w:rPr>
          <w:rFonts w:ascii="Lato" w:eastAsia="Times New Roman" w:hAnsi="Lato" w:cs="Times New Roman"/>
          <w:color w:val="000000"/>
          <w:sz w:val="23"/>
          <w:szCs w:val="23"/>
          <w:lang w:eastAsia="fr-FR"/>
        </w:rPr>
      </w:pPr>
      <w:r w:rsidRPr="00D11B51">
        <w:rPr>
          <w:rFonts w:ascii="Lato" w:eastAsia="Times New Roman" w:hAnsi="Lato" w:cs="Times New Roman"/>
          <w:color w:val="000000"/>
          <w:sz w:val="23"/>
          <w:szCs w:val="23"/>
          <w:lang w:eastAsia="fr-FR"/>
        </w:rPr>
        <w:t>Les estimations de moyennes pour 2023, 2024, 2025 et à long terme sont maintenues, respectivement, à 20.000 $/t, 17.000 $/t, 15.000 $/t et 15.000 $/t.</w:t>
      </w:r>
    </w:p>
    <w:p w14:paraId="2E32F1E3"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51"/>
    <w:rsid w:val="000F156F"/>
    <w:rsid w:val="00CD0D9E"/>
    <w:rsid w:val="00D11B51"/>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C3F77B7"/>
  <w15:chartTrackingRefBased/>
  <w15:docId w15:val="{5E695E0B-1867-B342-AA0D-268E31A6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11B5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11B5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1B5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11B51"/>
    <w:rPr>
      <w:rFonts w:ascii="Times New Roman" w:eastAsia="Times New Roman" w:hAnsi="Times New Roman" w:cs="Times New Roman"/>
      <w:b/>
      <w:bCs/>
      <w:sz w:val="36"/>
      <w:szCs w:val="36"/>
      <w:lang w:eastAsia="fr-FR"/>
    </w:rPr>
  </w:style>
  <w:style w:type="paragraph" w:customStyle="1" w:styleId="infoarticle">
    <w:name w:val="info_article"/>
    <w:basedOn w:val="Normal"/>
    <w:rsid w:val="00D11B5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11B51"/>
    <w:rPr>
      <w:color w:val="0000FF"/>
      <w:u w:val="single"/>
    </w:rPr>
  </w:style>
  <w:style w:type="paragraph" w:styleId="NormalWeb">
    <w:name w:val="Normal (Web)"/>
    <w:basedOn w:val="Normal"/>
    <w:uiPriority w:val="99"/>
    <w:semiHidden/>
    <w:unhideWhenUsed/>
    <w:rsid w:val="00D11B5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11B51"/>
    <w:rPr>
      <w:b/>
      <w:bCs/>
    </w:rPr>
  </w:style>
  <w:style w:type="character" w:styleId="Accentuation">
    <w:name w:val="Emphasis"/>
    <w:basedOn w:val="Policepardfaut"/>
    <w:uiPriority w:val="20"/>
    <w:qFormat/>
    <w:rsid w:val="00D11B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2907</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2022-09-27T08:36:00Z</dcterms:created>
  <dcterms:modified xsi:type="dcterms:W3CDTF">2022-09-27T08:37:00Z</dcterms:modified>
</cp:coreProperties>
</file>